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275"/>
        <w:gridCol w:w="1665"/>
        <w:gridCol w:w="2460"/>
        <w:gridCol w:w="2685"/>
        <w:gridCol w:w="840"/>
        <w:gridCol w:w="1515"/>
        <w:tblGridChange w:id="0">
          <w:tblGrid>
            <w:gridCol w:w="2970"/>
            <w:gridCol w:w="1275"/>
            <w:gridCol w:w="1665"/>
            <w:gridCol w:w="2460"/>
            <w:gridCol w:w="2685"/>
            <w:gridCol w:w="840"/>
            <w:gridCol w:w="1515"/>
          </w:tblGrid>
        </w:tblGridChange>
      </w:tblGrid>
      <w:tr>
        <w:trPr>
          <w:cantSplit w:val="0"/>
          <w:trHeight w:val="185.9765625" w:hRule="atLeast"/>
          <w:tblHeader w:val="0"/>
        </w:trPr>
        <w:tc>
          <w:tcPr>
            <w:gridSpan w:val="7"/>
            <w:shd w:fill="ebf1dd" w:val="clear"/>
            <w:vAlign w:val="center"/>
          </w:tcPr>
          <w:p w:rsidR="00000000" w:rsidDel="00000000" w:rsidP="00000000" w:rsidRDefault="00000000" w:rsidRPr="00000000" w14:paraId="00000002">
            <w:pPr>
              <w:ind w:left="3708" w:right="3150" w:firstLine="0"/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Nombre del proyecto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shd w:fill="ebf1dd" w:val="clear"/>
            <w:vAlign w:val="center"/>
          </w:tcPr>
          <w:p w:rsidR="00000000" w:rsidDel="00000000" w:rsidP="00000000" w:rsidRDefault="00000000" w:rsidRPr="00000000" w14:paraId="00000010">
            <w:pPr>
              <w:ind w:left="3708" w:right="3150" w:firstLine="0"/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Nombre del profesor autor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shd w:fill="ebf1dd" w:val="clear"/>
            <w:vAlign w:val="center"/>
          </w:tcPr>
          <w:p w:rsidR="00000000" w:rsidDel="00000000" w:rsidP="00000000" w:rsidRDefault="00000000" w:rsidRPr="00000000" w14:paraId="0000001E">
            <w:pPr>
              <w:ind w:left="3708" w:right="3150" w:firstLine="0"/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Programa Académico/ Unidad Académica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ebf1dd" w:val="clear"/>
            <w:vAlign w:val="center"/>
          </w:tcPr>
          <w:p w:rsidR="00000000" w:rsidDel="00000000" w:rsidP="00000000" w:rsidRDefault="00000000" w:rsidRPr="00000000" w14:paraId="0000002C">
            <w:pPr>
              <w:ind w:left="3708" w:right="3150" w:firstLine="0"/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Fecha de entrega del informe</w:t>
            </w:r>
          </w:p>
        </w:tc>
      </w:tr>
      <w:tr>
        <w:trPr>
          <w:cantSplit w:val="0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33">
            <w:pPr>
              <w:ind w:left="3708" w:right="3150" w:firstLine="0"/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gridSpan w:val="7"/>
            <w:shd w:fill="ebf1dd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Especificación del Objeto Virtual de Aprendizaje desarrollado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Producto/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características 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Duración/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Formato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Características Técnicas</w:t>
            </w:r>
          </w:p>
        </w:tc>
        <w:tc>
          <w:tcPr>
            <w:shd w:fill="ebf1dd" w:val="clear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Métricas de Evaluación</w:t>
            </w:r>
          </w:p>
        </w:tc>
        <w:tc>
          <w:tcPr>
            <w:gridSpan w:val="2"/>
            <w:shd w:fill="ebf1dd" w:val="clear"/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Articulación pedagógica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OVA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[1]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[Para materiales audiovisuales, especificar duración y formato de los vídeos o audios.]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[Especificar cualquier característica técnica (resolución, tipo de archivo, accesibilidad, compatibilidad).]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[Indicar cómo se evaluó la calidad del OVA durante la ejecución de la propuesta (por ejemplo, revisión por expertos, pruebas de usabilidad, cumplimiento de estándares)]</w:t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Ejemplo de indicadores específicos: impacto cualitativo (percepciones, adaptaciones realizadas)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y cuantitativo (número de personas impactadas, cantidad de horas de uso de herramientas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tecnológicas, etc.).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Incorporación del OVA al proceso formativo en el marco de la actividad académica intervenida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Actividades de evaluación (opcional)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both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both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both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9">
            <w:pPr>
              <w:jc w:val="both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7"/>
            <w:shd w:fill="ebf1dd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Informe de uso del OVA desarrollado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Nombre de la actividad académica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Código de la actividad académica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Grupo de la actividad académica: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Enlace al Aula Virtual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Humanst521 BT" w:cs="Humanst521 BT" w:eastAsia="Humanst521 BT" w:hAnsi="Humanst521 BT"/>
                <w:color w:val="80808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gridSpan w:val="7"/>
            <w:shd w:fill="ebf1dd" w:val="clear"/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Imágenes del Aula Virtual de Aprendizaje que evidencien el antes y después de la articulación del OVA desarrollado</w:t>
            </w:r>
          </w:p>
        </w:tc>
      </w:tr>
      <w:tr>
        <w:trPr>
          <w:cantSplit w:val="0"/>
          <w:trHeight w:val="141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[Imagen del AVA antes]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[Imagen del AVA después]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[Descripción del AVA antes]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[Descripción del AVA después]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7"/>
            <w:shd w:fill="ebf1dd" w:val="clear"/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Percepción de los estudiantes en la implementación del OVA desarrollado</w:t>
            </w:r>
          </w:p>
        </w:tc>
      </w:tr>
      <w:tr>
        <w:trPr>
          <w:cantSplit w:val="0"/>
          <w:trHeight w:val="1246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[Describa el proceso que utilizó para evaluar la percepción de los estudiantes en la implementación de OVA)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Conclusiones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[En un máximo de 250 palabras describa al menos 3 conclusiones derivadas de la evaluación de percepción. Ejemplo: aporte del uso del OVA para alcanzar las competencias propuestas; facilidad o impacto en la adquisición de las competencias al usar el OVA; interés y satisfacción que generó en el proceso de aprendizaje, entre otros.]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  <w:shd w:fill="ebf1dd" w:val="clear"/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Lecciones aprendidas y recomendaciones de la producción e implementación del OVA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Breve resumen ejecutivo que destaque las principales conclusiones y recomendaciones clave, como lo hacen las propuestas de la convocatoria.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Acompañamiento Pedagógico 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Mencione aspectos positivos del acompañamiento pedagógico y qué estrategias considera pertinentes incluir para mejorar</w:t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Proceso de Producción del OVA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Mencione aspectos positivos y por mejorar respecto a la asistencia en el desarrollo del OVA. Describa qué desafíos encontró en el proceso de producción del OVA y cómo fueron abordados.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sz w:val="24"/>
                <w:szCs w:val="24"/>
                <w:rtl w:val="0"/>
              </w:rPr>
              <w:t xml:space="preserve"> Asuntos administrativos de la convocatoria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Cuál fue su experiencia y que recomendaciones específicas consideran que mejorarían los procesos administrativos, desde la entrega de propuestas hasta la obtención de avales y asignación de recursos.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  <w:shd w:fill="ebf1dd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jc w:val="center"/>
              <w:rPr>
                <w:rFonts w:ascii="Humanst521 BT" w:cs="Humanst521 BT" w:eastAsia="Humanst521 BT" w:hAnsi="Humanst521 BT"/>
                <w:b w:val="1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rtl w:val="0"/>
              </w:rPr>
              <w:t xml:space="preserve">Comentarios finales sobre la adaptación tecnológica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jc w:val="center"/>
              <w:rPr>
                <w:rFonts w:ascii="Humanst521 BT" w:cs="Humanst521 BT" w:eastAsia="Humanst521 BT" w:hAnsi="Humanst521 BT"/>
                <w:b w:val="1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color w:val="808080"/>
                <w:sz w:val="20"/>
                <w:szCs w:val="20"/>
                <w:rtl w:val="0"/>
              </w:rPr>
              <w:t xml:space="preserve">Comentario final sobre la capacidad de adaptación de los docentes y estudiantes a estas tecnologías. Ejemplo: recomendaciones sobre capacitaciones necesarias.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  <w:shd w:fill="ebf1dd" w:val="clear"/>
            <w:vAlign w:val="center"/>
          </w:tcPr>
          <w:p w:rsidR="00000000" w:rsidDel="00000000" w:rsidP="00000000" w:rsidRDefault="00000000" w:rsidRPr="00000000" w14:paraId="000000EB">
            <w:pPr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Enlaces adicionales para cumplimiento de compromisos de actas de inicio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jc w:val="center"/>
              <w:rPr>
                <w:rFonts w:ascii="Humanst521 BT" w:cs="Humanst521 BT" w:eastAsia="Humanst521 BT" w:hAnsi="Humanst521 BT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rtl w:val="0"/>
              </w:rPr>
              <w:t xml:space="preserve">Enlace al archivo con el certificado del curso “Políticas universitarias: Modelo Pedagógico UIS21 - Reconociéndonos”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jc w:val="center"/>
              <w:rPr>
                <w:rFonts w:ascii="Humanst521 BT" w:cs="Humanst521 BT" w:eastAsia="Humanst521 BT" w:hAnsi="Humanst521 BT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Humanst521 BT" w:cs="Humanst521 BT" w:eastAsia="Humanst521 BT" w:hAnsi="Humanst521 BT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7"/>
            <w:shd w:fill="ebf1dd" w:val="clear"/>
            <w:vAlign w:val="center"/>
          </w:tcPr>
          <w:p w:rsidR="00000000" w:rsidDel="00000000" w:rsidP="00000000" w:rsidRDefault="00000000" w:rsidRPr="00000000" w14:paraId="00000100">
            <w:pPr>
              <w:ind w:left="3708" w:right="3150" w:firstLine="0"/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umanst521 BT" w:cs="Humanst521 BT" w:eastAsia="Humanst521 BT" w:hAnsi="Humanst521 BT"/>
                <w:b w:val="1"/>
                <w:sz w:val="24"/>
                <w:szCs w:val="24"/>
                <w:rtl w:val="0"/>
              </w:rPr>
              <w:t xml:space="preserve">Firma del profesor autor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107">
            <w:pPr>
              <w:ind w:left="3708" w:right="3150" w:firstLine="0"/>
              <w:jc w:val="center"/>
              <w:rPr>
                <w:rFonts w:ascii="Humanst521 BT" w:cs="Humanst521 BT" w:eastAsia="Humanst521 BT" w:hAnsi="Humanst521 B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="240" w:lineRule="auto"/>
        <w:jc w:val="both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widowControl w:val="0"/>
        <w:spacing w:after="0" w:line="240" w:lineRule="auto"/>
        <w:rPr>
          <w:rFonts w:ascii="Humanst521 BT" w:cs="Humanst521 BT" w:eastAsia="Humanst521 BT" w:hAnsi="Humanst521 B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umanst521 B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Humanst521 BT" w:cs="Humanst521 BT" w:eastAsia="Humanst521 BT" w:hAnsi="Humanst521 BT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1339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010"/>
      <w:gridCol w:w="8055"/>
      <w:gridCol w:w="3330"/>
      <w:tblGridChange w:id="0">
        <w:tblGrid>
          <w:gridCol w:w="2010"/>
          <w:gridCol w:w="8055"/>
          <w:gridCol w:w="3330"/>
        </w:tblGrid>
      </w:tblGridChange>
    </w:tblGrid>
    <w:tr>
      <w:trPr>
        <w:cantSplit w:val="0"/>
        <w:trHeight w:val="980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11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drawing>
              <wp:inline distB="0" distT="0" distL="0" distR="0">
                <wp:extent cx="1133475" cy="526733"/>
                <wp:effectExtent b="0" l="0" r="0" t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335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52673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13">
          <w:pPr>
            <w:spacing w:after="0" w:line="240" w:lineRule="auto"/>
            <w:jc w:val="center"/>
            <w:rPr>
              <w:rFonts w:ascii="Humanst521 BT" w:cs="Humanst521 BT" w:eastAsia="Humanst521 BT" w:hAnsi="Humanst521 BT"/>
              <w:sz w:val="24"/>
              <w:szCs w:val="24"/>
            </w:rPr>
          </w:pPr>
          <w:r w:rsidDel="00000000" w:rsidR="00000000" w:rsidRPr="00000000">
            <w:rPr>
              <w:rFonts w:ascii="Humanst521 BT" w:cs="Humanst521 BT" w:eastAsia="Humanst521 BT" w:hAnsi="Humanst521 BT"/>
              <w:color w:val="000000"/>
              <w:rtl w:val="0"/>
            </w:rPr>
            <w:t xml:space="preserve">INFORME FINAL DE</w:t>
          </w:r>
          <w:r w:rsidDel="00000000" w:rsidR="00000000" w:rsidRPr="00000000">
            <w:rPr>
              <w:rFonts w:ascii="Humanst521 BT" w:cs="Humanst521 BT" w:eastAsia="Humanst521 BT" w:hAnsi="Humanst521 BT"/>
              <w:rtl w:val="0"/>
            </w:rPr>
            <w:t xml:space="preserve">L DESARROLLO</w:t>
          </w:r>
          <w:r w:rsidDel="00000000" w:rsidR="00000000" w:rsidRPr="00000000">
            <w:rPr>
              <w:rFonts w:ascii="Humanst521 BT" w:cs="Humanst521 BT" w:eastAsia="Humanst521 BT" w:hAnsi="Humanst521 BT"/>
              <w:color w:val="000000"/>
              <w:rtl w:val="0"/>
            </w:rPr>
            <w:t xml:space="preserve"> E IMPLEMENTACIÓN DEL </w:t>
          </w:r>
          <w:r w:rsidDel="00000000" w:rsidR="00000000" w:rsidRPr="00000000">
            <w:rPr>
              <w:rFonts w:ascii="Humanst521 BT" w:cs="Humanst521 BT" w:eastAsia="Humanst521 BT" w:hAnsi="Humanst521 BT"/>
              <w:rtl w:val="0"/>
            </w:rPr>
            <w:t xml:space="preserve">OVA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11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="240" w:lineRule="auto"/>
            <w:jc w:val="center"/>
            <w:rPr>
              <w:color w:val="000000"/>
            </w:rPr>
          </w:pPr>
          <w:r w:rsidDel="00000000" w:rsidR="00000000" w:rsidRPr="00000000">
            <w:rPr>
              <w:rFonts w:ascii="Humanst521 BT" w:cs="Humanst521 BT" w:eastAsia="Humanst521 BT" w:hAnsi="Humanst521 BT"/>
              <w:color w:val="000000"/>
              <w:sz w:val="24"/>
              <w:szCs w:val="24"/>
              <w:rtl w:val="0"/>
            </w:rPr>
            <w:t xml:space="preserve">Convocatoria </w:t>
          </w:r>
          <w:r w:rsidDel="00000000" w:rsidR="00000000" w:rsidRPr="00000000">
            <w:rPr>
              <w:rFonts w:ascii="Humanst521 BT" w:cs="Humanst521 BT" w:eastAsia="Humanst521 BT" w:hAnsi="Humanst521 BT"/>
              <w:sz w:val="24"/>
              <w:szCs w:val="24"/>
              <w:rtl w:val="0"/>
            </w:rPr>
            <w:t xml:space="preserve">OVA-TIC </w:t>
          </w:r>
          <w:r w:rsidDel="00000000" w:rsidR="00000000" w:rsidRPr="00000000">
            <w:rPr>
              <w:rFonts w:ascii="Humanst521 BT" w:cs="Humanst521 BT" w:eastAsia="Humanst521 BT" w:hAnsi="Humanst521 BT"/>
              <w:color w:val="000000"/>
              <w:sz w:val="24"/>
              <w:szCs w:val="24"/>
              <w:rtl w:val="0"/>
            </w:rPr>
            <w:t xml:space="preserve">202</w:t>
          </w:r>
          <w:r w:rsidDel="00000000" w:rsidR="00000000" w:rsidRPr="00000000">
            <w:rPr>
              <w:rFonts w:ascii="Humanst521 BT" w:cs="Humanst521 BT" w:eastAsia="Humanst521 BT" w:hAnsi="Humanst521 BT"/>
              <w:sz w:val="24"/>
              <w:szCs w:val="24"/>
              <w:rtl w:val="0"/>
            </w:rPr>
            <w:t xml:space="preserve">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683D5F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83D5F"/>
  </w:style>
  <w:style w:type="paragraph" w:styleId="Piedepgina">
    <w:name w:val="footer"/>
    <w:basedOn w:val="Normal"/>
    <w:link w:val="PiedepginaCar"/>
    <w:uiPriority w:val="99"/>
    <w:unhideWhenUsed w:val="1"/>
    <w:rsid w:val="00683D5F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83D5F"/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Tablaconcuadrcula">
    <w:name w:val="Table Grid"/>
    <w:basedOn w:val="Tablanormal"/>
    <w:uiPriority w:val="39"/>
    <w:rsid w:val="001024B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9C38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9C3810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9C38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9C3810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9C3810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C381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C3810"/>
    <w:rPr>
      <w:rFonts w:ascii="Segoe UI" w:cs="Segoe UI" w:hAnsi="Segoe UI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063F5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lqIXRT3zPCt0bmxJF28eMcnymQ==">CgMxLjA4AHIhMV9wNm9Qd2d5UURGa0lEWS0zT3F6NGl4VTU0MVpBVDBr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2023-02-09T14:06:00Z</dcterms:created>
  <dc:creator>UIS</dc:creator>
</cp:coreProperties>
</file>